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30C5" w:rsidRPr="00EA30C5" w:rsidRDefault="00EA30C5" w:rsidP="00EA30C5">
      <w:pPr>
        <w:rPr>
          <w:rFonts w:asciiTheme="minorHAnsi" w:hAnsiTheme="minorHAnsi" w:cstheme="minorHAnsi"/>
          <w:b/>
          <w:bCs/>
          <w:sz w:val="24"/>
        </w:rPr>
      </w:pPr>
      <w:bookmarkStart w:id="0" w:name="_Hlk195903573"/>
      <w:r w:rsidRPr="00EA30C5">
        <w:rPr>
          <w:rFonts w:asciiTheme="minorHAnsi" w:hAnsiTheme="minorHAnsi" w:cstheme="minorHAnsi"/>
          <w:b/>
          <w:bCs/>
          <w:sz w:val="24"/>
        </w:rPr>
        <w:t>Draft Amendment</w:t>
      </w:r>
    </w:p>
    <w:p w:rsidR="00EA30C5" w:rsidRPr="00EA30C5" w:rsidRDefault="00EA30C5" w:rsidP="00EA30C5">
      <w:pPr>
        <w:rPr>
          <w:rFonts w:asciiTheme="minorHAnsi" w:hAnsiTheme="minorHAnsi" w:cstheme="minorHAnsi"/>
          <w:b/>
          <w:bCs/>
          <w:sz w:val="24"/>
        </w:rPr>
      </w:pPr>
      <w:r w:rsidRPr="00EA30C5">
        <w:rPr>
          <w:rFonts w:asciiTheme="minorHAnsi" w:hAnsiTheme="minorHAnsi" w:cstheme="minorHAnsi"/>
          <w:b/>
          <w:bCs/>
          <w:sz w:val="24"/>
        </w:rPr>
        <w:t xml:space="preserve">April </w:t>
      </w:r>
      <w:r>
        <w:rPr>
          <w:rFonts w:asciiTheme="minorHAnsi" w:hAnsiTheme="minorHAnsi" w:cstheme="minorHAnsi"/>
          <w:b/>
          <w:bCs/>
          <w:sz w:val="24"/>
        </w:rPr>
        <w:t>25</w:t>
      </w:r>
      <w:r w:rsidRPr="00EA30C5">
        <w:rPr>
          <w:rFonts w:asciiTheme="minorHAnsi" w:hAnsiTheme="minorHAnsi" w:cstheme="minorHAnsi"/>
          <w:b/>
          <w:bCs/>
          <w:sz w:val="24"/>
        </w:rPr>
        <w:t>, 2025</w:t>
      </w:r>
    </w:p>
    <w:p w:rsidR="00EA30C5" w:rsidRPr="00EA30C5" w:rsidRDefault="00EA30C5" w:rsidP="00EA30C5">
      <w:pPr>
        <w:jc w:val="right"/>
        <w:rPr>
          <w:rFonts w:asciiTheme="minorHAnsi" w:hAnsiTheme="minorHAnsi" w:cstheme="minorHAnsi"/>
          <w:bCs/>
          <w:sz w:val="56"/>
          <w:szCs w:val="56"/>
        </w:rPr>
      </w:pPr>
      <w:bookmarkStart w:id="1" w:name="_Hlk195900963"/>
      <w:r w:rsidRPr="00EA30C5">
        <w:rPr>
          <w:rFonts w:asciiTheme="minorHAnsi" w:hAnsiTheme="minorHAnsi" w:cstheme="minorHAnsi"/>
          <w:bCs/>
          <w:sz w:val="56"/>
          <w:szCs w:val="56"/>
        </w:rPr>
        <w:t>DRAFT</w:t>
      </w:r>
      <w:bookmarkEnd w:id="0"/>
      <w:bookmarkEnd w:id="1"/>
      <w:r w:rsidRPr="00EA30C5">
        <w:rPr>
          <w:rFonts w:asciiTheme="minorHAnsi" w:hAnsiTheme="minorHAnsi" w:cstheme="minorHAnsi"/>
          <w:bCs/>
          <w:sz w:val="56"/>
          <w:szCs w:val="56"/>
        </w:rPr>
        <w:tab/>
      </w:r>
      <w:r w:rsidRPr="00EA30C5">
        <w:rPr>
          <w:rFonts w:asciiTheme="minorHAnsi" w:hAnsiTheme="minorHAnsi" w:cstheme="minorHAnsi"/>
          <w:bCs/>
          <w:sz w:val="56"/>
          <w:szCs w:val="56"/>
        </w:rPr>
        <w:tab/>
      </w:r>
    </w:p>
    <w:p w:rsidR="00EA30C5" w:rsidRPr="00EA30C5" w:rsidRDefault="00EA30C5" w:rsidP="00EA30C5">
      <w:pPr>
        <w:rPr>
          <w:rFonts w:asciiTheme="minorHAnsi" w:hAnsiTheme="minorHAnsi" w:cstheme="minorHAnsi"/>
          <w:b/>
          <w:bCs/>
          <w:sz w:val="24"/>
        </w:rPr>
      </w:pPr>
    </w:p>
    <w:p w:rsidR="00EA30C5" w:rsidRPr="00EA30C5" w:rsidRDefault="00EA30C5" w:rsidP="00EA30C5">
      <w:pPr>
        <w:rPr>
          <w:rFonts w:asciiTheme="minorHAnsi" w:hAnsiTheme="minorHAnsi" w:cstheme="minorHAnsi"/>
          <w:strike/>
          <w:color w:val="0070C0"/>
          <w:spacing w:val="-3"/>
          <w:sz w:val="24"/>
        </w:rPr>
      </w:pPr>
      <w:r w:rsidRPr="00EA30C5">
        <w:rPr>
          <w:rFonts w:asciiTheme="minorHAnsi" w:hAnsiTheme="minorHAnsi" w:cstheme="minorHAnsi"/>
          <w:b/>
          <w:bCs/>
          <w:color w:val="0070C0"/>
          <w:spacing w:val="-3"/>
          <w:sz w:val="24"/>
        </w:rPr>
        <w:t>[</w:t>
      </w:r>
      <w:r w:rsidRPr="00EA30C5">
        <w:rPr>
          <w:rFonts w:asciiTheme="minorHAnsi" w:hAnsiTheme="minorHAnsi" w:cstheme="minorHAnsi"/>
          <w:b/>
          <w:bCs/>
          <w:strike/>
          <w:color w:val="0070C0"/>
          <w:spacing w:val="-3"/>
          <w:sz w:val="24"/>
        </w:rPr>
        <w:t>R873.  Tax Commission, Motor Vehicle.</w:t>
      </w:r>
    </w:p>
    <w:p w:rsidR="00EA30C5" w:rsidRPr="00EA30C5" w:rsidRDefault="00EA30C5" w:rsidP="00EA30C5">
      <w:pPr>
        <w:rPr>
          <w:rFonts w:asciiTheme="minorHAnsi" w:hAnsiTheme="minorHAnsi" w:cstheme="minorHAnsi"/>
          <w:strike/>
          <w:color w:val="0070C0"/>
          <w:spacing w:val="-3"/>
          <w:sz w:val="24"/>
        </w:rPr>
      </w:pPr>
      <w:r w:rsidRPr="00EA30C5">
        <w:rPr>
          <w:rFonts w:asciiTheme="minorHAnsi" w:hAnsiTheme="minorHAnsi" w:cstheme="minorHAnsi"/>
          <w:b/>
          <w:bCs/>
          <w:strike/>
          <w:color w:val="0070C0"/>
          <w:spacing w:val="-3"/>
          <w:sz w:val="24"/>
        </w:rPr>
        <w:t>R873-22M.  Motor Vehicle.</w:t>
      </w:r>
    </w:p>
    <w:p w:rsidR="00EA30C5" w:rsidRPr="00EA30C5" w:rsidRDefault="00EA30C5" w:rsidP="00EA30C5">
      <w:pPr>
        <w:rPr>
          <w:rFonts w:asciiTheme="minorHAnsi" w:hAnsiTheme="minorHAnsi" w:cstheme="minorHAnsi"/>
          <w:strike/>
          <w:color w:val="0070C0"/>
          <w:spacing w:val="-3"/>
          <w:sz w:val="24"/>
        </w:rPr>
      </w:pPr>
      <w:bookmarkStart w:id="2" w:name="_GoBack"/>
      <w:r w:rsidRPr="00EA30C5">
        <w:rPr>
          <w:rFonts w:asciiTheme="minorHAnsi" w:hAnsiTheme="minorHAnsi" w:cstheme="minorHAnsi"/>
          <w:b/>
          <w:bCs/>
          <w:strike/>
          <w:color w:val="0070C0"/>
          <w:spacing w:val="-3"/>
          <w:sz w:val="24"/>
        </w:rPr>
        <w:t>R873-22M-20</w:t>
      </w:r>
      <w:bookmarkEnd w:id="2"/>
      <w:r w:rsidRPr="00EA30C5">
        <w:rPr>
          <w:rFonts w:asciiTheme="minorHAnsi" w:hAnsiTheme="minorHAnsi" w:cstheme="minorHAnsi"/>
          <w:b/>
          <w:bCs/>
          <w:strike/>
          <w:color w:val="0070C0"/>
          <w:spacing w:val="-3"/>
          <w:sz w:val="24"/>
        </w:rPr>
        <w:t>.  Aircraft Registration Pursuant to Utah Code Ann. Sections 72-10-102, 72-10-109 through 72-10-112.</w:t>
      </w:r>
    </w:p>
    <w:p w:rsidR="00EA30C5" w:rsidRPr="00EA30C5" w:rsidRDefault="00EA30C5" w:rsidP="00EA30C5">
      <w:pPr>
        <w:rPr>
          <w:rFonts w:asciiTheme="minorHAnsi" w:hAnsiTheme="minorHAnsi" w:cstheme="minorHAnsi"/>
          <w:strike/>
          <w:color w:val="0070C0"/>
          <w:spacing w:val="-3"/>
          <w:sz w:val="24"/>
        </w:rPr>
      </w:pPr>
      <w:r w:rsidRPr="00EA30C5">
        <w:rPr>
          <w:rFonts w:asciiTheme="minorHAnsi" w:hAnsiTheme="minorHAnsi" w:cstheme="minorHAnsi"/>
          <w:strike/>
          <w:color w:val="0070C0"/>
          <w:spacing w:val="-3"/>
          <w:sz w:val="24"/>
        </w:rPr>
        <w:tab/>
        <w:t>(1)  The registration period for aircraft is from January 1 through December 31.</w:t>
      </w:r>
    </w:p>
    <w:p w:rsidR="00EA30C5" w:rsidRPr="00EA30C5" w:rsidRDefault="00EA30C5" w:rsidP="00EA30C5">
      <w:pPr>
        <w:rPr>
          <w:rFonts w:asciiTheme="minorHAnsi" w:hAnsiTheme="minorHAnsi" w:cstheme="minorHAnsi"/>
          <w:strike/>
          <w:color w:val="0070C0"/>
          <w:spacing w:val="-3"/>
          <w:sz w:val="24"/>
        </w:rPr>
      </w:pPr>
      <w:r w:rsidRPr="00EA30C5">
        <w:rPr>
          <w:rFonts w:asciiTheme="minorHAnsi" w:hAnsiTheme="minorHAnsi" w:cstheme="minorHAnsi"/>
          <w:strike/>
          <w:color w:val="0070C0"/>
          <w:spacing w:val="-3"/>
          <w:sz w:val="24"/>
        </w:rPr>
        <w:tab/>
        <w:t>(2)  The average wholesale value of an aircraft is obtained from the "average wholesale" column listed in the fall edition of the Aircraft Bluebook Price Digest in the year preceding the year of registration for all aircraft listed in that publication.</w:t>
      </w:r>
    </w:p>
    <w:p w:rsidR="00EA30C5" w:rsidRPr="00EA30C5" w:rsidRDefault="00EA30C5" w:rsidP="00EA30C5">
      <w:pPr>
        <w:rPr>
          <w:rFonts w:asciiTheme="minorHAnsi" w:hAnsiTheme="minorHAnsi" w:cstheme="minorHAnsi"/>
          <w:strike/>
          <w:color w:val="0070C0"/>
          <w:spacing w:val="-3"/>
          <w:sz w:val="24"/>
        </w:rPr>
      </w:pPr>
      <w:r w:rsidRPr="00EA30C5">
        <w:rPr>
          <w:rFonts w:asciiTheme="minorHAnsi" w:hAnsiTheme="minorHAnsi" w:cstheme="minorHAnsi"/>
          <w:strike/>
          <w:color w:val="0070C0"/>
          <w:spacing w:val="-3"/>
          <w:sz w:val="24"/>
        </w:rPr>
        <w:tab/>
        <w:t>(3)  The database maintained by the Division of Aeronautics shall include the following information for each aircraft:</w:t>
      </w:r>
    </w:p>
    <w:p w:rsidR="00EA30C5" w:rsidRPr="00EA30C5" w:rsidRDefault="00EA30C5" w:rsidP="00EA30C5">
      <w:pPr>
        <w:rPr>
          <w:rFonts w:asciiTheme="minorHAnsi" w:hAnsiTheme="minorHAnsi" w:cstheme="minorHAnsi"/>
          <w:strike/>
          <w:color w:val="0070C0"/>
          <w:spacing w:val="-3"/>
          <w:sz w:val="24"/>
        </w:rPr>
      </w:pPr>
      <w:r w:rsidRPr="00EA30C5">
        <w:rPr>
          <w:rFonts w:asciiTheme="minorHAnsi" w:hAnsiTheme="minorHAnsi" w:cstheme="minorHAnsi"/>
          <w:strike/>
          <w:color w:val="0070C0"/>
          <w:spacing w:val="-3"/>
          <w:sz w:val="24"/>
        </w:rPr>
        <w:tab/>
        <w:t>(a)  the name and address of the owner of the aircraft;</w:t>
      </w:r>
    </w:p>
    <w:p w:rsidR="00EA30C5" w:rsidRPr="00EA30C5" w:rsidRDefault="00EA30C5" w:rsidP="00EA30C5">
      <w:pPr>
        <w:rPr>
          <w:rFonts w:asciiTheme="minorHAnsi" w:hAnsiTheme="minorHAnsi" w:cstheme="minorHAnsi"/>
          <w:strike/>
          <w:color w:val="0070C0"/>
          <w:spacing w:val="-3"/>
          <w:sz w:val="24"/>
        </w:rPr>
      </w:pPr>
      <w:r w:rsidRPr="00EA30C5">
        <w:rPr>
          <w:rFonts w:asciiTheme="minorHAnsi" w:hAnsiTheme="minorHAnsi" w:cstheme="minorHAnsi"/>
          <w:strike/>
          <w:color w:val="0070C0"/>
          <w:spacing w:val="-3"/>
          <w:sz w:val="24"/>
        </w:rPr>
        <w:tab/>
        <w:t>(b)  the airport where the aircraft is hangered;</w:t>
      </w:r>
    </w:p>
    <w:p w:rsidR="00EA30C5" w:rsidRPr="00EA30C5" w:rsidRDefault="00EA30C5" w:rsidP="00EA30C5">
      <w:pPr>
        <w:rPr>
          <w:rFonts w:asciiTheme="minorHAnsi" w:hAnsiTheme="minorHAnsi" w:cstheme="minorHAnsi"/>
          <w:strike/>
          <w:color w:val="0070C0"/>
          <w:spacing w:val="-3"/>
          <w:sz w:val="24"/>
        </w:rPr>
      </w:pPr>
      <w:r w:rsidRPr="00EA30C5">
        <w:rPr>
          <w:rFonts w:asciiTheme="minorHAnsi" w:hAnsiTheme="minorHAnsi" w:cstheme="minorHAnsi"/>
          <w:strike/>
          <w:color w:val="0070C0"/>
          <w:spacing w:val="-3"/>
          <w:sz w:val="24"/>
        </w:rPr>
        <w:tab/>
        <w:t>(c)  the FAA number of the aircraft;</w:t>
      </w:r>
    </w:p>
    <w:p w:rsidR="00EA30C5" w:rsidRPr="00EA30C5" w:rsidRDefault="00EA30C5" w:rsidP="00EA30C5">
      <w:pPr>
        <w:rPr>
          <w:rFonts w:asciiTheme="minorHAnsi" w:hAnsiTheme="minorHAnsi" w:cstheme="minorHAnsi"/>
          <w:strike/>
          <w:color w:val="0070C0"/>
          <w:spacing w:val="-3"/>
          <w:sz w:val="24"/>
        </w:rPr>
      </w:pPr>
      <w:r w:rsidRPr="00EA30C5">
        <w:rPr>
          <w:rFonts w:asciiTheme="minorHAnsi" w:hAnsiTheme="minorHAnsi" w:cstheme="minorHAnsi"/>
          <w:strike/>
          <w:color w:val="0070C0"/>
          <w:spacing w:val="-3"/>
          <w:sz w:val="24"/>
        </w:rPr>
        <w:tab/>
        <w:t>(d)  the aircraft manufacturer or builder;</w:t>
      </w:r>
    </w:p>
    <w:p w:rsidR="00EA30C5" w:rsidRPr="00EA30C5" w:rsidRDefault="00EA30C5" w:rsidP="00EA30C5">
      <w:pPr>
        <w:rPr>
          <w:rFonts w:asciiTheme="minorHAnsi" w:hAnsiTheme="minorHAnsi" w:cstheme="minorHAnsi"/>
          <w:strike/>
          <w:color w:val="0070C0"/>
          <w:spacing w:val="-3"/>
          <w:sz w:val="24"/>
        </w:rPr>
      </w:pPr>
      <w:r w:rsidRPr="00EA30C5">
        <w:rPr>
          <w:rFonts w:asciiTheme="minorHAnsi" w:hAnsiTheme="minorHAnsi" w:cstheme="minorHAnsi"/>
          <w:strike/>
          <w:color w:val="0070C0"/>
          <w:spacing w:val="-3"/>
          <w:sz w:val="24"/>
        </w:rPr>
        <w:tab/>
        <w:t>(e)  the year of manufacture or the year the aircraft was completed and certified for air worthiness by the FAA;</w:t>
      </w:r>
    </w:p>
    <w:p w:rsidR="00EA30C5" w:rsidRPr="00EA30C5" w:rsidRDefault="00EA30C5" w:rsidP="00EA30C5">
      <w:pPr>
        <w:rPr>
          <w:rFonts w:asciiTheme="minorHAnsi" w:hAnsiTheme="minorHAnsi" w:cstheme="minorHAnsi"/>
          <w:strike/>
          <w:color w:val="0070C0"/>
          <w:spacing w:val="-3"/>
          <w:sz w:val="24"/>
        </w:rPr>
      </w:pPr>
      <w:r w:rsidRPr="00EA30C5">
        <w:rPr>
          <w:rFonts w:asciiTheme="minorHAnsi" w:hAnsiTheme="minorHAnsi" w:cstheme="minorHAnsi"/>
          <w:strike/>
          <w:color w:val="0070C0"/>
          <w:spacing w:val="-3"/>
          <w:sz w:val="24"/>
        </w:rPr>
        <w:tab/>
        <w:t>(f)  the aircraft model as identified by the manufacturer or builder; and</w:t>
      </w:r>
    </w:p>
    <w:p w:rsidR="00EA30C5" w:rsidRPr="00EA30C5" w:rsidRDefault="00EA30C5" w:rsidP="00EA30C5">
      <w:pPr>
        <w:rPr>
          <w:rFonts w:asciiTheme="minorHAnsi" w:hAnsiTheme="minorHAnsi" w:cstheme="minorHAnsi"/>
          <w:strike/>
          <w:color w:val="0070C0"/>
          <w:spacing w:val="-3"/>
          <w:sz w:val="24"/>
        </w:rPr>
      </w:pPr>
      <w:r w:rsidRPr="00EA30C5">
        <w:rPr>
          <w:rFonts w:asciiTheme="minorHAnsi" w:hAnsiTheme="minorHAnsi" w:cstheme="minorHAnsi"/>
          <w:strike/>
          <w:color w:val="0070C0"/>
          <w:spacing w:val="-3"/>
          <w:sz w:val="24"/>
        </w:rPr>
        <w:tab/>
        <w:t>(g)  the aircraft serial number.</w:t>
      </w:r>
    </w:p>
    <w:p w:rsidR="00EA30C5" w:rsidRPr="00EA30C5" w:rsidRDefault="00EA30C5" w:rsidP="00EA30C5">
      <w:pPr>
        <w:rPr>
          <w:rFonts w:asciiTheme="minorHAnsi" w:hAnsiTheme="minorHAnsi" w:cstheme="minorHAnsi"/>
          <w:strike/>
          <w:color w:val="0070C0"/>
          <w:spacing w:val="-3"/>
          <w:sz w:val="24"/>
        </w:rPr>
      </w:pPr>
      <w:r w:rsidRPr="00EA30C5">
        <w:rPr>
          <w:rFonts w:asciiTheme="minorHAnsi" w:hAnsiTheme="minorHAnsi" w:cstheme="minorHAnsi"/>
          <w:strike/>
          <w:color w:val="0070C0"/>
          <w:spacing w:val="-3"/>
          <w:sz w:val="24"/>
        </w:rPr>
        <w:tab/>
        <w:t>(4)  Aircraft not legally registered are subject to seizure and impound under the provisions of Section 72-10-112.</w:t>
      </w:r>
    </w:p>
    <w:p w:rsidR="00EA30C5" w:rsidRPr="00EA30C5" w:rsidRDefault="00EA30C5" w:rsidP="00EA30C5">
      <w:pPr>
        <w:rPr>
          <w:rFonts w:asciiTheme="minorHAnsi" w:hAnsiTheme="minorHAnsi" w:cstheme="minorHAnsi"/>
          <w:strike/>
          <w:color w:val="0070C0"/>
          <w:spacing w:val="-3"/>
          <w:sz w:val="24"/>
        </w:rPr>
      </w:pPr>
      <w:r w:rsidRPr="00EA30C5">
        <w:rPr>
          <w:rFonts w:asciiTheme="minorHAnsi" w:hAnsiTheme="minorHAnsi" w:cstheme="minorHAnsi"/>
          <w:strike/>
          <w:color w:val="0070C0"/>
          <w:spacing w:val="-3"/>
          <w:sz w:val="24"/>
        </w:rPr>
        <w:tab/>
        <w:t>(5)  The registration certificate shall be surrendered upon the sale of an aircraft or at the time of registration renewal.  A duplicate certificate may be obtained for a fee.</w:t>
      </w:r>
    </w:p>
    <w:p w:rsidR="00EA30C5" w:rsidRPr="00EA30C5" w:rsidRDefault="00EA30C5" w:rsidP="00EA30C5">
      <w:pPr>
        <w:rPr>
          <w:rFonts w:asciiTheme="minorHAnsi" w:hAnsiTheme="minorHAnsi" w:cstheme="minorHAnsi"/>
          <w:strike/>
          <w:color w:val="0070C0"/>
          <w:spacing w:val="-3"/>
          <w:sz w:val="24"/>
        </w:rPr>
      </w:pPr>
      <w:r w:rsidRPr="00EA30C5">
        <w:rPr>
          <w:rFonts w:asciiTheme="minorHAnsi" w:hAnsiTheme="minorHAnsi" w:cstheme="minorHAnsi"/>
          <w:strike/>
          <w:color w:val="0070C0"/>
          <w:spacing w:val="-3"/>
          <w:sz w:val="24"/>
        </w:rPr>
        <w:tab/>
        <w:t>(6)  The Utah decal shall be displayed on the registered aircraft in accordance with instructions given with the decal.  Decals must be applied and maintained in a manner that permits identification of the calendar-year expiration date and the registration number.  In the event of loss or damage, a decal replacement shall be obtained for a fee.</w:t>
      </w:r>
      <w:r w:rsidRPr="00EA30C5">
        <w:rPr>
          <w:rFonts w:asciiTheme="minorHAnsi" w:hAnsiTheme="minorHAnsi" w:cstheme="minorHAnsi"/>
          <w:color w:val="0070C0"/>
          <w:spacing w:val="-3"/>
          <w:sz w:val="24"/>
        </w:rPr>
        <w:t>]</w:t>
      </w:r>
    </w:p>
    <w:p w:rsidR="008875F6" w:rsidRDefault="008875F6"/>
    <w:sectPr w:rsidR="008875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0C5"/>
    <w:rsid w:val="002200A3"/>
    <w:rsid w:val="008875F6"/>
    <w:rsid w:val="00EA30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FCAA1"/>
  <w15:chartTrackingRefBased/>
  <w15:docId w15:val="{056263D5-BEFC-4560-B98A-8CCE854A2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30C5"/>
    <w:pPr>
      <w:suppressAutoHyphens/>
      <w:autoSpaceDE w:val="0"/>
      <w:autoSpaceDN w:val="0"/>
      <w:adjustRightInd w:val="0"/>
      <w:spacing w:after="0" w:line="240" w:lineRule="auto"/>
      <w:jc w:val="both"/>
    </w:pPr>
    <w:rPr>
      <w:rFonts w:ascii="Times New Roman" w:eastAsiaTheme="minorEastAsia" w:hAnsi="Times New Roman" w:cs="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257</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Nuttall</dc:creator>
  <cp:keywords/>
  <dc:description/>
  <cp:lastModifiedBy>Tracy Nuttall</cp:lastModifiedBy>
  <cp:revision>1</cp:revision>
  <dcterms:created xsi:type="dcterms:W3CDTF">2025-04-25T21:16:00Z</dcterms:created>
  <dcterms:modified xsi:type="dcterms:W3CDTF">2025-04-25T21:28:00Z</dcterms:modified>
</cp:coreProperties>
</file>